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8284" w14:textId="5F9ECD8C" w:rsidR="005343DF" w:rsidRDefault="00113351">
      <w:pPr>
        <w:spacing w:after="291"/>
        <w:ind w:left="414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DEDFC7" wp14:editId="333BBD38">
            <wp:simplePos x="0" y="0"/>
            <wp:positionH relativeFrom="column">
              <wp:posOffset>4496753</wp:posOffset>
            </wp:positionH>
            <wp:positionV relativeFrom="paragraph">
              <wp:posOffset>50088</wp:posOffset>
            </wp:positionV>
            <wp:extent cx="2181225" cy="727075"/>
            <wp:effectExtent l="0" t="0" r="0" b="0"/>
            <wp:wrapSquare wrapText="bothSides"/>
            <wp:docPr id="368" name="Picture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CD69F" w14:textId="77777777" w:rsidR="005343DF" w:rsidRDefault="00113351">
      <w:pPr>
        <w:spacing w:after="44" w:line="265" w:lineRule="auto"/>
        <w:ind w:left="-5" w:right="-17" w:hanging="10"/>
        <w:jc w:val="center"/>
      </w:pPr>
      <w:r>
        <w:rPr>
          <w:rFonts w:ascii="Times New Roman" w:eastAsia="Times New Roman" w:hAnsi="Times New Roman" w:cs="Times New Roman"/>
          <w:sz w:val="24"/>
        </w:rPr>
        <w:t>T.C.</w:t>
      </w:r>
    </w:p>
    <w:p w14:paraId="50127557" w14:textId="77777777" w:rsidR="005343DF" w:rsidRDefault="00113351">
      <w:pPr>
        <w:spacing w:after="44" w:line="265" w:lineRule="auto"/>
        <w:ind w:left="-5" w:right="-14" w:hanging="10"/>
        <w:jc w:val="center"/>
      </w:pPr>
      <w:r>
        <w:rPr>
          <w:rFonts w:ascii="Times New Roman" w:eastAsia="Times New Roman" w:hAnsi="Times New Roman" w:cs="Times New Roman"/>
          <w:sz w:val="24"/>
        </w:rPr>
        <w:t>TİCARET BAKANLIĞI</w:t>
      </w:r>
    </w:p>
    <w:p w14:paraId="6F2C73CD" w14:textId="15C6A4F2" w:rsidR="005343DF" w:rsidRDefault="00113351" w:rsidP="00113351">
      <w:pPr>
        <w:spacing w:after="44" w:line="265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Uluslararası Anlaşmalar ve Avrupa Birliği Genel Müdürlüğü</w:t>
      </w:r>
    </w:p>
    <w:p w14:paraId="17638094" w14:textId="5C4CB004" w:rsidR="005343DF" w:rsidRDefault="00113351" w:rsidP="00113351">
      <w:pPr>
        <w:spacing w:after="637" w:line="265" w:lineRule="auto"/>
        <w:ind w:left="-5" w:right="-14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>Afrika Ülkeleri Dairesi</w:t>
      </w:r>
    </w:p>
    <w:p w14:paraId="76995B43" w14:textId="77777777" w:rsidR="005343DF" w:rsidRDefault="00113351">
      <w:pPr>
        <w:spacing w:after="6" w:line="265" w:lineRule="auto"/>
        <w:ind w:left="866" w:right="4532" w:hanging="881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Konu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Fas Tarafından Mısır Menşeli Soğuk Haddelenmiş Sac İthalatına Karşı</w:t>
      </w:r>
    </w:p>
    <w:p w14:paraId="744F0E4D" w14:textId="77777777" w:rsidR="005343DF" w:rsidRDefault="00113351">
      <w:pPr>
        <w:spacing w:after="724" w:line="265" w:lineRule="auto"/>
        <w:ind w:left="891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Antidamping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Soruşturması Açılması</w:t>
      </w:r>
    </w:p>
    <w:p w14:paraId="17E48EA5" w14:textId="77777777" w:rsidR="005343DF" w:rsidRDefault="00113351">
      <w:pPr>
        <w:spacing w:after="361" w:line="26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DAĞITIM YERLERİNE</w:t>
      </w:r>
    </w:p>
    <w:p w14:paraId="36410E5C" w14:textId="77777777" w:rsidR="005343DF" w:rsidRDefault="00113351">
      <w:pPr>
        <w:spacing w:after="280" w:line="265" w:lineRule="auto"/>
        <w:ind w:left="-1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T.C. </w:t>
      </w:r>
      <w:r>
        <w:rPr>
          <w:rFonts w:ascii="Times New Roman" w:eastAsia="Times New Roman" w:hAnsi="Times New Roman" w:cs="Times New Roman"/>
          <w:sz w:val="24"/>
        </w:rPr>
        <w:t>Rabat Büyükelçiliği Ticaret Müşavirliğinden alınan bir yazıda, Fas Sanayi ve Ticaret Bakanlığının internet sitesinde yayımlanan 14 Ekim 2024 tarihli örneği ekli kamuoyu duyurusunda özetle, Fas’ta yerel üretimi temsil eden «</w:t>
      </w:r>
      <w:proofErr w:type="spellStart"/>
      <w:r>
        <w:rPr>
          <w:rFonts w:ascii="Times New Roman" w:eastAsia="Times New Roman" w:hAnsi="Times New Roman" w:cs="Times New Roman"/>
          <w:sz w:val="24"/>
        </w:rPr>
        <w:t>Maghreb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Steel» firmasının Mısır m</w:t>
      </w:r>
      <w:r>
        <w:rPr>
          <w:rFonts w:ascii="Times New Roman" w:eastAsia="Times New Roman" w:hAnsi="Times New Roman" w:cs="Times New Roman"/>
          <w:sz w:val="24"/>
        </w:rPr>
        <w:t xml:space="preserve">enşeli ithalata karşı </w:t>
      </w:r>
      <w:proofErr w:type="spellStart"/>
      <w:r>
        <w:rPr>
          <w:rFonts w:ascii="Times New Roman" w:eastAsia="Times New Roman" w:hAnsi="Times New Roman" w:cs="Times New Roman"/>
          <w:sz w:val="24"/>
        </w:rPr>
        <w:t>antidamping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önleminin uygulanmasını talep ettiği, firmanın başvurusunda gerekçe olarak Mısır menşeli soğuk haddelenmiş çelik sacların halihazırda dampinge konu olması ve Fas’taki yerel üretime ciddi zarar tehdidi oluşturmasının göster</w:t>
      </w:r>
      <w:r>
        <w:rPr>
          <w:rFonts w:ascii="Times New Roman" w:eastAsia="Times New Roman" w:hAnsi="Times New Roman" w:cs="Times New Roman"/>
          <w:sz w:val="24"/>
        </w:rPr>
        <w:t>ildiğinin ifade edildiği belirtilmektedir.</w:t>
      </w:r>
    </w:p>
    <w:p w14:paraId="78D09EA9" w14:textId="77777777" w:rsidR="005343DF" w:rsidRDefault="00113351">
      <w:pPr>
        <w:spacing w:after="225" w:line="265" w:lineRule="auto"/>
        <w:ind w:left="730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5D6E4B7" wp14:editId="7010EC03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Soruşturmanın aşağıda kayıtlı ürünleri kapsadığı anlaşılmaktadır:</w:t>
      </w:r>
    </w:p>
    <w:p w14:paraId="76639EEB" w14:textId="77777777" w:rsidR="005343DF" w:rsidRDefault="00113351">
      <w:pPr>
        <w:spacing w:after="184" w:line="305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-7209</w:t>
      </w:r>
      <w:r>
        <w:rPr>
          <w:rFonts w:ascii="Times New Roman" w:eastAsia="Times New Roman" w:hAnsi="Times New Roman" w:cs="Times New Roman"/>
          <w:i/>
          <w:sz w:val="24"/>
        </w:rPr>
        <w:tab/>
        <w:t>HS</w:t>
      </w:r>
      <w:r>
        <w:rPr>
          <w:rFonts w:ascii="Times New Roman" w:eastAsia="Times New Roman" w:hAnsi="Times New Roman" w:cs="Times New Roman"/>
          <w:i/>
          <w:sz w:val="24"/>
        </w:rPr>
        <w:tab/>
        <w:t>kodlu</w:t>
      </w:r>
      <w:r>
        <w:rPr>
          <w:rFonts w:ascii="Times New Roman" w:eastAsia="Times New Roman" w:hAnsi="Times New Roman" w:cs="Times New Roman"/>
          <w:i/>
          <w:sz w:val="24"/>
        </w:rPr>
        <w:tab/>
        <w:t>ürünler</w:t>
      </w:r>
      <w:r>
        <w:rPr>
          <w:rFonts w:ascii="Times New Roman" w:eastAsia="Times New Roman" w:hAnsi="Times New Roman" w:cs="Times New Roman"/>
          <w:i/>
          <w:sz w:val="24"/>
        </w:rPr>
        <w:tab/>
        <w:t>(Fas</w:t>
      </w:r>
      <w:r>
        <w:rPr>
          <w:rFonts w:ascii="Times New Roman" w:eastAsia="Times New Roman" w:hAnsi="Times New Roman" w:cs="Times New Roman"/>
          <w:i/>
          <w:sz w:val="24"/>
        </w:rPr>
        <w:tab/>
        <w:t>tarife</w:t>
      </w:r>
      <w:r>
        <w:rPr>
          <w:rFonts w:ascii="Times New Roman" w:eastAsia="Times New Roman" w:hAnsi="Times New Roman" w:cs="Times New Roman"/>
          <w:i/>
          <w:sz w:val="24"/>
        </w:rPr>
        <w:tab/>
        <w:t>cetvelinin</w:t>
      </w:r>
      <w:r>
        <w:rPr>
          <w:rFonts w:ascii="Times New Roman" w:eastAsia="Times New Roman" w:hAnsi="Times New Roman" w:cs="Times New Roman"/>
          <w:i/>
          <w:sz w:val="24"/>
        </w:rPr>
        <w:tab/>
        <w:t>7209.16.00.20,</w:t>
      </w:r>
      <w:r>
        <w:rPr>
          <w:rFonts w:ascii="Times New Roman" w:eastAsia="Times New Roman" w:hAnsi="Times New Roman" w:cs="Times New Roman"/>
          <w:i/>
          <w:sz w:val="24"/>
        </w:rPr>
        <w:tab/>
        <w:t>7209.17.00.20,</w:t>
      </w:r>
      <w:r>
        <w:rPr>
          <w:rFonts w:ascii="Times New Roman" w:eastAsia="Times New Roman" w:hAnsi="Times New Roman" w:cs="Times New Roman"/>
          <w:i/>
          <w:sz w:val="24"/>
        </w:rPr>
        <w:tab/>
        <w:t>7209.18.00.20, 7209.26.00.20, 7209.27.00.20 ve 7209.28.00.20 hariç),</w:t>
      </w:r>
    </w:p>
    <w:p w14:paraId="66D4A25E" w14:textId="77777777" w:rsidR="005343DF" w:rsidRDefault="00113351">
      <w:pPr>
        <w:spacing w:after="184" w:line="305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>7211 HS kodlu ürünler (Fas tarife cetvelinin 7211.13, 7211.14, 7211.19, 7211.23.00.10, 7211.23.00.40, 7211.29.00.20 ve 7211.29.00.50 hariç),</w:t>
      </w:r>
    </w:p>
    <w:p w14:paraId="0665D9E0" w14:textId="77777777" w:rsidR="005343DF" w:rsidRDefault="00113351">
      <w:pPr>
        <w:spacing w:after="184" w:line="305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-7225.50.10.00 kodlu (Fas tarife cetveline göre) ürünler,</w:t>
      </w:r>
    </w:p>
    <w:p w14:paraId="0C64252B" w14:textId="77777777" w:rsidR="005343DF" w:rsidRDefault="00113351">
      <w:pPr>
        <w:spacing w:after="184" w:line="305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-7225.50.90.00 kodlu (Fas tarife cetveline göre) ürünler,</w:t>
      </w:r>
    </w:p>
    <w:p w14:paraId="78F29E56" w14:textId="77777777" w:rsidR="005343DF" w:rsidRDefault="00113351">
      <w:pPr>
        <w:spacing w:after="184" w:line="305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-7226</w:t>
      </w:r>
      <w:r>
        <w:rPr>
          <w:rFonts w:ascii="Times New Roman" w:eastAsia="Times New Roman" w:hAnsi="Times New Roman" w:cs="Times New Roman"/>
          <w:i/>
          <w:sz w:val="24"/>
        </w:rPr>
        <w:tab/>
        <w:t>HS</w:t>
      </w:r>
      <w:r>
        <w:rPr>
          <w:rFonts w:ascii="Times New Roman" w:eastAsia="Times New Roman" w:hAnsi="Times New Roman" w:cs="Times New Roman"/>
          <w:i/>
          <w:sz w:val="24"/>
        </w:rPr>
        <w:tab/>
        <w:t>kodlu</w:t>
      </w:r>
      <w:r>
        <w:rPr>
          <w:rFonts w:ascii="Times New Roman" w:eastAsia="Times New Roman" w:hAnsi="Times New Roman" w:cs="Times New Roman"/>
          <w:i/>
          <w:sz w:val="24"/>
        </w:rPr>
        <w:tab/>
        <w:t>ürünler</w:t>
      </w:r>
      <w:r>
        <w:rPr>
          <w:rFonts w:ascii="Times New Roman" w:eastAsia="Times New Roman" w:hAnsi="Times New Roman" w:cs="Times New Roman"/>
          <w:i/>
          <w:sz w:val="24"/>
        </w:rPr>
        <w:tab/>
        <w:t>(7226.11.00,</w:t>
      </w:r>
      <w:r>
        <w:rPr>
          <w:rFonts w:ascii="Times New Roman" w:eastAsia="Times New Roman" w:hAnsi="Times New Roman" w:cs="Times New Roman"/>
          <w:i/>
          <w:sz w:val="24"/>
        </w:rPr>
        <w:tab/>
        <w:t>7226.19.00,</w:t>
      </w:r>
      <w:r>
        <w:rPr>
          <w:rFonts w:ascii="Times New Roman" w:eastAsia="Times New Roman" w:hAnsi="Times New Roman" w:cs="Times New Roman"/>
          <w:i/>
          <w:sz w:val="24"/>
        </w:rPr>
        <w:tab/>
        <w:t>7226.20.00.11,</w:t>
      </w:r>
      <w:r>
        <w:rPr>
          <w:rFonts w:ascii="Times New Roman" w:eastAsia="Times New Roman" w:hAnsi="Times New Roman" w:cs="Times New Roman"/>
          <w:i/>
          <w:sz w:val="24"/>
        </w:rPr>
        <w:tab/>
        <w:t>7226.20.00.51,</w:t>
      </w:r>
      <w:r>
        <w:rPr>
          <w:rFonts w:ascii="Times New Roman" w:eastAsia="Times New Roman" w:hAnsi="Times New Roman" w:cs="Times New Roman"/>
          <w:i/>
          <w:sz w:val="24"/>
        </w:rPr>
        <w:tab/>
        <w:t>7226.20.00.52, 7226.20.00.59 ve 7226.91.00.00 hariç).</w:t>
      </w:r>
    </w:p>
    <w:p w14:paraId="0EB14088" w14:textId="77777777" w:rsidR="005343DF" w:rsidRDefault="00113351">
      <w:pPr>
        <w:spacing w:after="225" w:line="265" w:lineRule="auto"/>
        <w:ind w:left="-15" w:firstLine="7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Bilgileri ile söz konusu sektörde faaliyet gösteren üyelerinizin yukarıda </w:t>
      </w:r>
      <w:proofErr w:type="gramStart"/>
      <w:r>
        <w:rPr>
          <w:rFonts w:ascii="Times New Roman" w:eastAsia="Times New Roman" w:hAnsi="Times New Roman" w:cs="Times New Roman"/>
          <w:sz w:val="24"/>
        </w:rPr>
        <w:t>mezkur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soruşturma konusunda bilgilendirilmesi hus</w:t>
      </w:r>
      <w:r>
        <w:rPr>
          <w:rFonts w:ascii="Times New Roman" w:eastAsia="Times New Roman" w:hAnsi="Times New Roman" w:cs="Times New Roman"/>
          <w:sz w:val="24"/>
        </w:rPr>
        <w:t>usunda gereğini rica ederim.</w:t>
      </w:r>
    </w:p>
    <w:p w14:paraId="70648212" w14:textId="5C2A320B" w:rsidR="005343DF" w:rsidRDefault="005343DF">
      <w:pPr>
        <w:spacing w:after="0"/>
        <w:ind w:left="-8"/>
      </w:pPr>
    </w:p>
    <w:sectPr w:rsidR="005343DF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DF"/>
    <w:rsid w:val="00113351"/>
    <w:rsid w:val="005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9A7B"/>
  <w15:docId w15:val="{617AC1A2-996C-46DA-9839-9B0BCE85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2024-11-21T05:21:00Z</dcterms:created>
  <dcterms:modified xsi:type="dcterms:W3CDTF">2024-11-21T05:21:00Z</dcterms:modified>
</cp:coreProperties>
</file>