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C4A65" w14:textId="77777777" w:rsidR="00C906D9" w:rsidRDefault="00CC1156">
      <w:pPr>
        <w:spacing w:after="44"/>
        <w:ind w:left="10" w:right="-1"/>
        <w:jc w:val="center"/>
      </w:pPr>
      <w:r>
        <w:t>T.C.</w:t>
      </w:r>
    </w:p>
    <w:p w14:paraId="731EE100" w14:textId="77777777" w:rsidR="00C906D9" w:rsidRDefault="00CC1156">
      <w:pPr>
        <w:spacing w:after="44"/>
        <w:ind w:left="10" w:right="1"/>
        <w:jc w:val="center"/>
      </w:pPr>
      <w:r>
        <w:t>TİCARET BAKANLIĞI</w:t>
      </w:r>
    </w:p>
    <w:p w14:paraId="02AAB4D0" w14:textId="460B65EF" w:rsidR="00C906D9" w:rsidRDefault="00CC1156">
      <w:pPr>
        <w:spacing w:after="954"/>
        <w:ind w:left="10"/>
        <w:jc w:val="center"/>
      </w:pPr>
      <w:r>
        <w:t xml:space="preserve">                           </w:t>
      </w:r>
      <w:r>
        <w:t>Uluslararası Anlaşmalar ve Avrupa Birliği Genel Müdürlüğü</w:t>
      </w:r>
    </w:p>
    <w:p w14:paraId="69E7541F" w14:textId="77777777" w:rsidR="00C906D9" w:rsidRDefault="00CC1156">
      <w:pPr>
        <w:tabs>
          <w:tab w:val="center" w:pos="2455"/>
        </w:tabs>
        <w:spacing w:after="32"/>
        <w:ind w:left="-15" w:firstLine="0"/>
        <w:jc w:val="left"/>
      </w:pPr>
      <w:r>
        <w:t>Sayı</w:t>
      </w:r>
      <w:r>
        <w:tab/>
      </w:r>
      <w:r>
        <w:rPr>
          <w:sz w:val="22"/>
        </w:rPr>
        <w:t xml:space="preserve">: </w:t>
      </w:r>
      <w:r>
        <w:t>E-54304773-458.02-00103989652</w:t>
      </w:r>
    </w:p>
    <w:p w14:paraId="6A930AD2" w14:textId="77777777" w:rsidR="00C906D9" w:rsidRDefault="00CC1156">
      <w:pPr>
        <w:ind w:left="-5"/>
      </w:pPr>
      <w:proofErr w:type="gramStart"/>
      <w:r>
        <w:t xml:space="preserve">Konu </w:t>
      </w:r>
      <w:r>
        <w:rPr>
          <w:sz w:val="22"/>
        </w:rPr>
        <w:t>:</w:t>
      </w:r>
      <w:proofErr w:type="gramEnd"/>
      <w:r>
        <w:rPr>
          <w:sz w:val="22"/>
        </w:rPr>
        <w:t xml:space="preserve"> </w:t>
      </w:r>
      <w:r>
        <w:t>Ülkemiz Menşeli Elektrikli Fırınlara İlişkin</w:t>
      </w:r>
    </w:p>
    <w:p w14:paraId="2612F7CD" w14:textId="77777777" w:rsidR="00C906D9" w:rsidRDefault="00CC1156">
      <w:pPr>
        <w:ind w:left="891"/>
      </w:pPr>
      <w:r>
        <w:t>Anti-Damping Soruşturmasının</w:t>
      </w:r>
    </w:p>
    <w:p w14:paraId="40B94153" w14:textId="77777777" w:rsidR="00C906D9" w:rsidRDefault="00CC1156">
      <w:pPr>
        <w:spacing w:after="720"/>
        <w:ind w:left="891"/>
      </w:pPr>
      <w:proofErr w:type="gramStart"/>
      <w:r>
        <w:t>Sonuçlanması -</w:t>
      </w:r>
      <w:proofErr w:type="gramEnd"/>
      <w:r>
        <w:t xml:space="preserve"> Fas</w:t>
      </w:r>
    </w:p>
    <w:p w14:paraId="1E0BDC6E" w14:textId="77777777" w:rsidR="00C906D9" w:rsidRDefault="00CC1156">
      <w:pPr>
        <w:spacing w:after="720"/>
        <w:ind w:left="10"/>
        <w:jc w:val="center"/>
      </w:pPr>
      <w:r>
        <w:t>DAĞITIM YERLERİNE</w:t>
      </w:r>
    </w:p>
    <w:p w14:paraId="4814222E" w14:textId="77777777" w:rsidR="00C906D9" w:rsidRDefault="00CC1156">
      <w:pPr>
        <w:spacing w:after="280"/>
        <w:ind w:left="-15" w:firstLine="85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38B1B2F" wp14:editId="3A9EE092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Dışişleri Bakanlığımız ve Rabat Ticaret Müşavirliğimizden alınan yazılarda, Fas’ta elektrikli fırınlar alanında yerel üretimi temsil eden SULTAN</w:t>
      </w:r>
      <w:r>
        <w:t xml:space="preserve">GAZ ve DEHA ELECTROMENAGER firmalarının başvurusu üzerine, Fas tarafınca 30 Ağustos 2023 tarihinde Türkiye menşeli elektrikli fırınların ithalatına karşı </w:t>
      </w:r>
      <w:proofErr w:type="spellStart"/>
      <w:r>
        <w:t>antidamping</w:t>
      </w:r>
      <w:proofErr w:type="spellEnd"/>
      <w:r>
        <w:t xml:space="preserve"> önlemi uygulanması amacıyla bir soruşturma başlatıldığı hatırlatılarak, soruşturmanın süre</w:t>
      </w:r>
      <w:r>
        <w:t xml:space="preserve">sinin daha sonra 12 aydan 18 aya çıkarıldığı, ayrıca, soruşturmanın devam ettiği sırada Bakanlığın 14 Mayıs 2024 tarih ve DDC/04/2024 sayılı kamuoyu duyurusu ile geçici bir </w:t>
      </w:r>
      <w:proofErr w:type="spellStart"/>
      <w:r>
        <w:t>antidamping</w:t>
      </w:r>
      <w:proofErr w:type="spellEnd"/>
      <w:r>
        <w:t xml:space="preserve"> önlemi uygulama şartlarının yerine geldiğinin değerlendirildiğini duyur</w:t>
      </w:r>
      <w:r>
        <w:t>duğu ve bu yöndeki geçici önlemin 25 Haziran 2024 tarihinde uygulanmaya başladığı belirtilmektedir.</w:t>
      </w:r>
    </w:p>
    <w:p w14:paraId="47701DB8" w14:textId="77777777" w:rsidR="00C906D9" w:rsidRDefault="00CC1156">
      <w:pPr>
        <w:spacing w:after="280"/>
        <w:ind w:left="-15" w:firstLine="850"/>
      </w:pPr>
      <w:r>
        <w:t>Söz konusu soruşturma kapsamında, bu defa, Bakanlığın internet sitesinde yayımlanan 22 Kasım 2024 tarih ve DDC/12/2024 sayılı kamuoyu duyurusunda özetle, so</w:t>
      </w:r>
      <w:r>
        <w:t xml:space="preserve">ruşturmanın 8516.60.00.11 GTİP kodu (2023 yılı </w:t>
      </w:r>
      <w:proofErr w:type="gramStart"/>
      <w:r>
        <w:t>Ağustos</w:t>
      </w:r>
      <w:proofErr w:type="gramEnd"/>
      <w:r>
        <w:t xml:space="preserve"> ayı gümrük tarife değişikliğine göre) altında kayıtlı ithalatı gerçekleşen Türkiye menşeli mobil, ankastre olmayan ve iç kapasitesi 70 litreyi geçmeyen elektrik fırın ürünlerini kapsadığı, soruşturma s</w:t>
      </w:r>
      <w:r>
        <w:t>onucunda;</w:t>
      </w:r>
    </w:p>
    <w:p w14:paraId="333101F9" w14:textId="77777777" w:rsidR="00C906D9" w:rsidRDefault="00CC1156">
      <w:pPr>
        <w:numPr>
          <w:ilvl w:val="0"/>
          <w:numId w:val="1"/>
        </w:numPr>
        <w:spacing w:after="11" w:line="259" w:lineRule="auto"/>
        <w:ind w:firstLine="850"/>
      </w:pPr>
      <w:proofErr w:type="spellStart"/>
      <w:r>
        <w:t>Antidumping</w:t>
      </w:r>
      <w:proofErr w:type="spellEnd"/>
      <w:r>
        <w:t xml:space="preserve"> marjlarının İtimat firması için %32,82 olarak, diğer üreticiler/ihracatçılar için</w:t>
      </w:r>
    </w:p>
    <w:p w14:paraId="7A257709" w14:textId="77777777" w:rsidR="00C906D9" w:rsidRDefault="00CC1156">
      <w:pPr>
        <w:ind w:left="-5"/>
      </w:pPr>
      <w:r>
        <w:t>%71,43 olarak değerlendirildiği,</w:t>
      </w:r>
    </w:p>
    <w:p w14:paraId="0A547C59" w14:textId="77777777" w:rsidR="00C906D9" w:rsidRDefault="00CC1156">
      <w:pPr>
        <w:numPr>
          <w:ilvl w:val="0"/>
          <w:numId w:val="1"/>
        </w:numPr>
        <w:ind w:firstLine="850"/>
      </w:pPr>
      <w:r>
        <w:t>Analiz edilen dönemle ilgili yapılan inceleme sonucunda, ilgili ürünlerin ithalatının yerel üretim üzerinde etkisinin olumsuz olduğu ve ciddi zarara yol açtığı sonucuna ulaşıldığı,</w:t>
      </w:r>
    </w:p>
    <w:p w14:paraId="66332158" w14:textId="77777777" w:rsidR="00C906D9" w:rsidRDefault="00CC1156">
      <w:pPr>
        <w:numPr>
          <w:ilvl w:val="0"/>
          <w:numId w:val="1"/>
        </w:numPr>
        <w:spacing w:after="280"/>
        <w:ind w:firstLine="850"/>
      </w:pPr>
      <w:r>
        <w:t>Söz konusu ürünlerin ithalatındaki ciddi artış ile yerel üretimin gördüğü z</w:t>
      </w:r>
      <w:r>
        <w:t>arar arasında bir nedensellik bağının bulunduğu,</w:t>
      </w:r>
    </w:p>
    <w:p w14:paraId="529323F4" w14:textId="77777777" w:rsidR="00C906D9" w:rsidRDefault="00CC1156">
      <w:pPr>
        <w:spacing w:after="256"/>
        <w:ind w:left="-15" w:firstLine="850"/>
      </w:pPr>
      <w:proofErr w:type="gramStart"/>
      <w:r>
        <w:t>hususlarına</w:t>
      </w:r>
      <w:proofErr w:type="gramEnd"/>
      <w:r>
        <w:t xml:space="preserve"> yer verilerek soruşturmanın 27 Kasım 2024 tarihinde kapatıldığı belirtilmektedir. Duyurunun sonunda, Bakanlık tarafından bir </w:t>
      </w:r>
      <w:proofErr w:type="spellStart"/>
      <w:r>
        <w:t>antidumping</w:t>
      </w:r>
      <w:proofErr w:type="spellEnd"/>
      <w:r>
        <w:t xml:space="preserve"> önlemi uygulama şartlarının yerine </w:t>
      </w:r>
      <w:proofErr w:type="spellStart"/>
      <w:r>
        <w:t>getldiğinin</w:t>
      </w:r>
      <w:proofErr w:type="spellEnd"/>
      <w:r>
        <w:t xml:space="preserve"> kesin olara</w:t>
      </w:r>
      <w:r>
        <w:t xml:space="preserve">k değerlendirildiği ve 15-09 sayılı kanunun 26. maddesi uyarınca İthalat Denetim Komisyonunca aşağıdaki </w:t>
      </w:r>
      <w:proofErr w:type="spellStart"/>
      <w:r>
        <w:t>antidumping</w:t>
      </w:r>
      <w:proofErr w:type="spellEnd"/>
      <w:r>
        <w:t xml:space="preserve"> önlem oranlarının uygulanmasının uygun görüldüğü açıklanmıştır:</w:t>
      </w:r>
    </w:p>
    <w:tbl>
      <w:tblPr>
        <w:tblStyle w:val="TableGrid"/>
        <w:tblW w:w="6041" w:type="dxa"/>
        <w:tblInd w:w="2078" w:type="dxa"/>
        <w:tblCellMar>
          <w:top w:w="47" w:type="dxa"/>
          <w:left w:w="12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3021"/>
      </w:tblGrid>
      <w:tr w:rsidR="00C906D9" w14:paraId="23F0F4AC" w14:textId="77777777">
        <w:trPr>
          <w:trHeight w:val="276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73290" w14:textId="77777777" w:rsidR="00C906D9" w:rsidRDefault="00CC115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Üretici / İhracatçı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9FDE" w14:textId="77777777" w:rsidR="00C906D9" w:rsidRDefault="00CC115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Kesin anti-damping vergisi</w:t>
            </w:r>
          </w:p>
        </w:tc>
      </w:tr>
      <w:tr w:rsidR="00C906D9" w14:paraId="3C627F06" w14:textId="77777777">
        <w:trPr>
          <w:trHeight w:val="276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28F9" w14:textId="77777777" w:rsidR="00C906D9" w:rsidRDefault="00CC1156">
            <w:pPr>
              <w:spacing w:after="0" w:line="259" w:lineRule="auto"/>
              <w:ind w:left="0" w:right="10" w:firstLine="0"/>
              <w:jc w:val="center"/>
            </w:pPr>
            <w:r>
              <w:t>İtimat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C507" w14:textId="77777777" w:rsidR="00C906D9" w:rsidRDefault="00CC1156">
            <w:pPr>
              <w:spacing w:after="0" w:line="259" w:lineRule="auto"/>
              <w:ind w:left="0" w:right="9" w:firstLine="0"/>
              <w:jc w:val="center"/>
            </w:pPr>
            <w:proofErr w:type="gramStart"/>
            <w:r>
              <w:t>% 32,82</w:t>
            </w:r>
            <w:proofErr w:type="gramEnd"/>
          </w:p>
        </w:tc>
      </w:tr>
      <w:tr w:rsidR="00C906D9" w14:paraId="3F8C1532" w14:textId="77777777">
        <w:trPr>
          <w:trHeight w:val="276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EF15" w14:textId="77777777" w:rsidR="00C906D9" w:rsidRDefault="00CC1156">
            <w:pPr>
              <w:spacing w:after="0" w:line="259" w:lineRule="auto"/>
              <w:ind w:left="0" w:right="12" w:firstLine="0"/>
              <w:jc w:val="center"/>
            </w:pPr>
            <w:r>
              <w:t>Diğer üreticiler/ihracatçılar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D3AA" w14:textId="77777777" w:rsidR="00C906D9" w:rsidRDefault="00CC1156">
            <w:pPr>
              <w:spacing w:after="0" w:line="259" w:lineRule="auto"/>
              <w:ind w:left="0" w:right="9" w:firstLine="0"/>
              <w:jc w:val="center"/>
            </w:pPr>
            <w:proofErr w:type="gramStart"/>
            <w:r>
              <w:t>% 62,07</w:t>
            </w:r>
            <w:proofErr w:type="gramEnd"/>
          </w:p>
        </w:tc>
      </w:tr>
    </w:tbl>
    <w:p w14:paraId="7C160357" w14:textId="777C29D6" w:rsidR="00C906D9" w:rsidRDefault="00C906D9">
      <w:pPr>
        <w:spacing w:after="0" w:line="259" w:lineRule="auto"/>
        <w:ind w:left="-8" w:firstLine="0"/>
        <w:jc w:val="left"/>
      </w:pPr>
    </w:p>
    <w:sectPr w:rsidR="00C906D9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83F08"/>
    <w:multiLevelType w:val="hybridMultilevel"/>
    <w:tmpl w:val="C8DC5980"/>
    <w:lvl w:ilvl="0" w:tplc="FA0892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60FC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4C67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EB5A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4EF48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EE1C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E93B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E60B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21CD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D9"/>
    <w:rsid w:val="00C906D9"/>
    <w:rsid w:val="00C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3A50"/>
  <w15:docId w15:val="{DE1AF7F8-6636-4EA2-84EA-FC60DE1C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65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2024-12-20T12:02:00Z</dcterms:created>
  <dcterms:modified xsi:type="dcterms:W3CDTF">2024-12-20T12:02:00Z</dcterms:modified>
</cp:coreProperties>
</file>